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  <w:t>ANEXO X DO EDITAL</w:t>
      </w:r>
    </w:p>
    <w:p>
      <w:pPr>
        <w:pStyle w:val="Normal"/>
        <w:bidi w:val="0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bidi w:val="0"/>
        <w:jc w:val="center"/>
        <w:rPr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  <w:t>NOTAS DE ATUALIZAÇÃO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NOTA 1</w:t>
      </w:r>
      <w:r>
        <w:rPr>
          <w:rFonts w:ascii="Arial" w:hAnsi="Arial"/>
          <w:b/>
          <w:bCs/>
          <w:sz w:val="20"/>
          <w:szCs w:val="20"/>
        </w:rPr>
        <w:t xml:space="preserve"> – </w:t>
      </w:r>
      <w:r>
        <w:rPr>
          <w:rFonts w:ascii="Arial" w:hAnsi="Arial"/>
          <w:b/>
          <w:bCs/>
          <w:sz w:val="20"/>
          <w:szCs w:val="20"/>
          <w:u w:val="single"/>
        </w:rPr>
        <w:t>ATUALIZAÇÃO APÓS ESTUDO TÉCNICO PRELIMINAR (ETP)</w:t>
      </w:r>
      <w:r>
        <w:rPr>
          <w:rFonts w:ascii="Arial" w:hAnsi="Arial"/>
          <w:b/>
          <w:bCs/>
          <w:sz w:val="20"/>
          <w:szCs w:val="20"/>
        </w:rPr>
        <w:t xml:space="preserve">: 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1.1. A tabela do item 1.1 do Termo de Referência (TR) substitui a Planilha de Itens do Anexo I do ETP, em razão do acréscimo de 1 (um) posto de motorista para a DRF/Maceió e da alteração da distribuição regional dos postos de recepcionista do projeto APA, conforme documento às fls. 712/715 do processo;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1.2. As estimativas do valor da contratação e o Resumo da Proposta (item 9.1 do TR) foram atualizados em razão dos aditivos das CCTs de Pernambuco, quais sejam: Termo Aditivo PE000269/2024 e PE000271/2024. Bem como, foram atualizados em razão do acréscimo de 1 (um) posto de motorista para a DRF/Maceió e da alteração da distribuição regional dos postos de recepcionista do projeto APA após ETP, conforme documento às fls. 712/715 do processo;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1.3. O Apêndice B substitui o Anexo II do Estudo Técnico Preliminar (ETP), em razão do acréscimo de 1 (um) posto de motorista para a DRF/Maceió e da alteração da distribuição regional dos postos de recepcionista do projeto APA após ETP, conforme documento às fls. 712/715 do processo;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1.4. O Apêndice C substitui o Anexo V do Estudo Técnico Preliminar (ETP), em razão da alteração da distribuição regional dos postos de recepcionista do projeto APA após ETP, conforme documento às fls. 712/715 do processo;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1.5. O Apêndice D substitui o Anexo VIII do Estudo Técnico Preliminar (ETP), em razão da alteração da distribuição regional dos postos de recepcionista do projeto APA após ETP, conforme documento às fls. 712/715 do processo.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NOTA 2</w:t>
      </w:r>
      <w:r>
        <w:rPr>
          <w:rFonts w:ascii="Arial" w:hAnsi="Arial"/>
          <w:b/>
          <w:bCs/>
          <w:sz w:val="20"/>
          <w:szCs w:val="20"/>
        </w:rPr>
        <w:t xml:space="preserve"> – </w:t>
      </w:r>
      <w:r>
        <w:rPr>
          <w:rFonts w:ascii="Arial" w:hAnsi="Arial"/>
          <w:b/>
          <w:bCs/>
          <w:sz w:val="20"/>
          <w:szCs w:val="20"/>
          <w:u w:val="single"/>
        </w:rPr>
        <w:t>ATUALIZAÇÃO APÓS PRIMEIRA VERSÃO DO TERMO DE REFERÊNCIA (TR)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2.1. A tabela do item 1.1 do TR, as estimativas do valor da contratação e o Resumo da Proposta (item 9.1 do TR) foram atualizados em razão das seguintes alterações nas Planilhas de Custos e Formação de Preços</w:t>
      </w:r>
      <w:r>
        <w:rPr>
          <w:rStyle w:val="FootnoteReference"/>
          <w:rFonts w:ascii="Arial" w:hAnsi="Arial"/>
          <w:sz w:val="20"/>
          <w:szCs w:val="20"/>
        </w:rPr>
        <w:footnoteReference w:id="2"/>
      </w:r>
      <w:r>
        <w:rPr>
          <w:rFonts w:ascii="Arial" w:hAnsi="Arial"/>
          <w:sz w:val="20"/>
          <w:szCs w:val="20"/>
        </w:rPr>
        <w:t>: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a) acréscimo de 1 (um) posto de motorista para a DRF/Maceió e alteração da distribuição regional dos postos de recepcionista do projeto APA, conforme documento às fls. 712/715 do processo;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b) alteração da tarifa de transporte coletivo em Recife/PE (fl. 966 do processo), de R$ 5,60 para R$ 4,10;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b) correção da jornada semanal do posto de Recepcionista lotado em Cajazeiras/PB, de 40hs para 30hs;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c) correção da quantidade de diárias dos postos de Motorista na PB, de 0,25 para 5,5 diárias por mês;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d) registro das CCTs PB000144/2024 (com abrangência estadual, exceto Campina Grande/PB – fls. 875/905 do processo) e PB000164/2024 (com abrangência em Campina Grande/PB – fls. 903/946 do processo) e necessidade de utilização da CCT PB000483/2023 (fls. 947/964 do processo) para o posto de Motorista em Campina Grande/PB, já que este posto e município não estão previstos na CCT PB000164/2024;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e) inclusão do Seguro de Vida para os postos lotados no Estado da PB (pesquisa à fl. 965 do processo);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f) acréscimo de 14 postos de recepcionista para compensar a recente vedação da utilização de estagiários no atendimento presencial, conforme documentos de fls. 967/976 do processo);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g) atualização da média anual e mensal de diárias por posto de recepcionista, em razão do acréscimo citado na alínea “f”, já que a quantidade total estimada manteve-se (350 diárias por ano);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h) correção da alíquota de ISS no Município de Maceió, de 2,5% para 5%, conforme Art. 49, inciso V, alínea “a”, da Lei nº 6.685, de 18 de agosto de 2017;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i) a previsão de contratação de postos de recepcionistas foi atualizada, conforme documento à fl. 976 do processo;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j) nova distribuição dos terceirizados (Posto de Recepcionista) que irão trabalhar no novo modelo de atendimento presencial "APA", conforme documentos às fls. 1370/1375 do processo;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k) alteração da jornada semanal de 40 (quarenta) horas para 44 (quarenta e quatro) horas, conforme justificativa a seguir: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ind w:hanging="0" w:start="709"/>
        <w:jc w:val="both"/>
        <w:rPr>
          <w:i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1. </w:t>
      </w:r>
      <w:r>
        <w:rPr>
          <w:rFonts w:ascii="Arial" w:hAnsi="Arial"/>
          <w:b/>
          <w:bCs/>
          <w:i/>
          <w:iCs/>
          <w:sz w:val="18"/>
          <w:szCs w:val="18"/>
        </w:rPr>
        <w:t>Aumento da Produtividade</w:t>
      </w:r>
      <w:r>
        <w:rPr>
          <w:rFonts w:ascii="Arial" w:hAnsi="Arial"/>
          <w:i/>
          <w:iCs/>
          <w:sz w:val="18"/>
          <w:szCs w:val="18"/>
        </w:rPr>
        <w:t>: Com uma jornada de 44 horas semanais, os terceirizados podem contribuir com mais horas de trabalho, o que pode resultar em maior produtividade e eficiência na execução das tarefas.</w:t>
      </w:r>
    </w:p>
    <w:p>
      <w:pPr>
        <w:pStyle w:val="Normal"/>
        <w:bidi w:val="0"/>
        <w:ind w:hanging="0" w:start="709"/>
        <w:jc w:val="both"/>
        <w:rPr>
          <w:i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2. </w:t>
      </w:r>
      <w:r>
        <w:rPr>
          <w:rFonts w:ascii="Arial" w:hAnsi="Arial"/>
          <w:b/>
          <w:bCs/>
          <w:i/>
          <w:iCs/>
          <w:sz w:val="18"/>
          <w:szCs w:val="18"/>
        </w:rPr>
        <w:t>Flexibilidade no Atendimento</w:t>
      </w:r>
      <w:r>
        <w:rPr>
          <w:rFonts w:ascii="Arial" w:hAnsi="Arial"/>
          <w:i/>
          <w:iCs/>
          <w:sz w:val="18"/>
          <w:szCs w:val="18"/>
        </w:rPr>
        <w:t>: Terceirizados com uma jornada de 44 horas podem oferecer maior flexibilidade para cobrir horários de pico e demandas emergenciais, garantindo que o serviço seja contínuo e sem interrupções.</w:t>
      </w:r>
    </w:p>
    <w:p>
      <w:pPr>
        <w:pStyle w:val="Normal"/>
        <w:bidi w:val="0"/>
        <w:ind w:hanging="0" w:start="709"/>
        <w:jc w:val="both"/>
        <w:rPr>
          <w:i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3. </w:t>
      </w:r>
      <w:r>
        <w:rPr>
          <w:rFonts w:ascii="Arial" w:hAnsi="Arial"/>
          <w:b/>
          <w:bCs/>
          <w:i/>
          <w:iCs/>
          <w:sz w:val="18"/>
          <w:szCs w:val="18"/>
        </w:rPr>
        <w:t>Redução de Custos</w:t>
      </w:r>
      <w:r>
        <w:rPr>
          <w:rFonts w:ascii="Arial" w:hAnsi="Arial"/>
          <w:i/>
          <w:iCs/>
          <w:sz w:val="18"/>
          <w:szCs w:val="18"/>
        </w:rPr>
        <w:t>: Contratar terceirizados por 44 horas semanais pode ser mais econômico do que contratar mais funcionários para cobrir as horas adicionais necessárias. Isso pode ajudar a otimizar os recursos financeiros do órgão.</w:t>
      </w:r>
    </w:p>
    <w:p>
      <w:pPr>
        <w:pStyle w:val="Normal"/>
        <w:bidi w:val="0"/>
        <w:ind w:hanging="0" w:start="709"/>
        <w:jc w:val="both"/>
        <w:rPr>
          <w:i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4. </w:t>
      </w:r>
      <w:r>
        <w:rPr>
          <w:rFonts w:ascii="Arial" w:hAnsi="Arial"/>
          <w:b/>
          <w:bCs/>
          <w:i/>
          <w:iCs/>
          <w:sz w:val="18"/>
          <w:szCs w:val="18"/>
        </w:rPr>
        <w:t>Conformidade com a Legislação</w:t>
      </w:r>
      <w:r>
        <w:rPr>
          <w:rFonts w:ascii="Arial" w:hAnsi="Arial"/>
          <w:i/>
          <w:iCs/>
          <w:sz w:val="18"/>
          <w:szCs w:val="18"/>
        </w:rPr>
        <w:t>: A legislação trabalhista brasileira permite uma jornada de até 44 horas semanais. Portanto, contratar terceirizados dentro desse limite está em conformidade com a lei e pode ser uma prática comum no mercado.</w:t>
      </w:r>
    </w:p>
    <w:p>
      <w:pPr>
        <w:pStyle w:val="Normal"/>
        <w:bidi w:val="0"/>
        <w:ind w:hanging="0" w:start="709"/>
        <w:jc w:val="both"/>
        <w:rPr>
          <w:i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5. </w:t>
      </w:r>
      <w:r>
        <w:rPr>
          <w:rFonts w:ascii="Arial" w:hAnsi="Arial"/>
          <w:b/>
          <w:bCs/>
          <w:i/>
          <w:iCs/>
          <w:sz w:val="18"/>
          <w:szCs w:val="18"/>
        </w:rPr>
        <w:t>Atendimento a Demandas Específicas</w:t>
      </w:r>
      <w:r>
        <w:rPr>
          <w:rFonts w:ascii="Arial" w:hAnsi="Arial"/>
          <w:i/>
          <w:iCs/>
          <w:sz w:val="18"/>
          <w:szCs w:val="18"/>
        </w:rPr>
        <w:t>: Em alguns casos, a natureza do trabalho pode exigir uma carga horária maior para atender a demandas específicas ou prazos apertados. Terceirizados com uma jornada de 44 horas podem ajudar a cumprir essas exigências;</w:t>
      </w:r>
    </w:p>
    <w:p>
      <w:pPr>
        <w:pStyle w:val="Normal"/>
        <w:bidi w:val="0"/>
        <w:ind w:hanging="0" w:start="709"/>
        <w:jc w:val="both"/>
        <w:rPr>
          <w:i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6. </w:t>
      </w:r>
      <w:r>
        <w:rPr>
          <w:rFonts w:ascii="Arial" w:hAnsi="Arial"/>
          <w:b/>
          <w:bCs/>
          <w:i/>
          <w:iCs/>
          <w:sz w:val="18"/>
          <w:szCs w:val="18"/>
        </w:rPr>
        <w:t>Valorização do posto de serviço contratado</w:t>
      </w:r>
      <w:r>
        <w:rPr>
          <w:rFonts w:ascii="Arial" w:hAnsi="Arial"/>
          <w:i/>
          <w:iCs/>
          <w:sz w:val="18"/>
          <w:szCs w:val="18"/>
        </w:rPr>
        <w:t>: Dessa forma, o pequeno acréscimo de custo pra órgão, mas de muito valor para o posto de serviço, retorna na forma de outros benefícios, tais como motivação, redução da rotatividade, maior compromisso com a organização etc.;</w:t>
      </w:r>
    </w:p>
    <w:p>
      <w:pPr>
        <w:pStyle w:val="Normal"/>
        <w:bidi w:val="0"/>
        <w:ind w:hanging="0" w:start="709"/>
        <w:jc w:val="both"/>
        <w:rPr>
          <w:i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7. </w:t>
      </w:r>
      <w:r>
        <w:rPr>
          <w:rFonts w:ascii="Arial" w:hAnsi="Arial"/>
          <w:b/>
          <w:bCs/>
          <w:i/>
          <w:iCs/>
          <w:sz w:val="18"/>
          <w:szCs w:val="18"/>
        </w:rPr>
        <w:t>Por fim</w:t>
      </w:r>
      <w:r>
        <w:rPr>
          <w:rFonts w:ascii="Arial" w:hAnsi="Arial"/>
          <w:i/>
          <w:iCs/>
          <w:sz w:val="18"/>
          <w:szCs w:val="18"/>
        </w:rPr>
        <w:t>: Há uma necessidade de organização do ambiente antes e após o período de atendimento aos contribuintes, tais como configuração de equipamentos, check lists operacionais etc. Estes minutos além das 8 (oito) horas diárias são essenciais para que se otimize o tempo de atendimento aos usuários.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2.2. O Apêndice B foi atualizado, em razão do acréscimo de postos de recepcionista para compensar a recente vedação da utilização de estagiários no atendimento presencial, conforme documento de fls. 967/976 do processo. A previsão de contratação de postos de recepcionistas foi atualizada, conforme documento à fl. 976 do processo. Houve nova distribuição dos terceirizados (Posto de Recepcionista) que irão trabalhar no novo modelo de atendimento presencial "APA", conforme documentos às fls. 1370/1375 do processo. A jornada semanal foi alterada de 40 (quarenta) horas para 44 (quarenta e quatro) horas, conforme justificativa do item 2.1, alínea “k”.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2.3. O Apêndice C foi atualizado, em razão do acréscimo de postos de recepcionista para compensar a recente vedação da utilização de estagiários no atendimento presencial, conforme documento de fls. 967/976 do processo. A previsão de contratação de postos de recepcionistas foi atualizada, conforme documento à fl. 976 do processo. Houve nova distribuição dos terceirizados (Posto de Recepcionista) que irão trabalhar no novo modelo de atendimento presencial "APA", conforme documentos às fls. 1370/1375 do processo. A jornada semanal foi alterada de 40 (quarenta) horas para 44 (quarenta e quatro) horas, conforme justificativa do item 2.1, alínea “k”.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2.4. O Apêndice D foi atualizado, em razão do acréscimo de postos de recepcionista para compensar a recente vedação da utilização de estagiários no atendimento presencial, conforme documento de fls. 967/976 do processo. A previsão de contratação de postos de recepcionistas foi atualizada, conforme documento à fl. 976 do processo. Houve nova distribuição dos terceirizados (Posto de Recepcionista) que irão trabalhar no novo modelo de atendimento presencial "APA", conforme documentos às fls. 1370/1375 do processo.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2.5. Foram criados os Apêndices G, H, I e J, em substituição aos Anexos III, IV, VI e VII do ETP, pois a jornada semanal foi alterada de 40 (quarenta) horas para 44 (quarenta e quatro) horas, conforme justificativa do item 2.1, alínea “k”.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2.6. Os itens 17 e 29 foram cancelados, em virtude do fechamento da ARF/Paulista e ARF/Itabaiana, respectivamente, previsto para o novo Regimento Interno da RFB, conforme documento às fls. 1370/1371 do processo.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/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2.7. No momento da elaboração da PCFP da Administração, bem como por ocasião da publicação do primeiro aviso de licitação no D.O.U., em 28/06/2024, a CCT PB000483/2023 estava em vigor. Entretanto, atualmente a referida CCT encontra-se expirada. Em razão da inconstitucionalidade do princípio da ultratividade, conforme julgamento da Arguição de Descumprimento de Preceito Fundamental (ADPF) 323 pelo STF, a PCFP da Administração será atualizada com base em CCT vigente. Diante do exposto, o item 36 do Pregão foi cancelado.</w:t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  <w:font w:name="Arial">
    <w:charset w:val="00" w:characterSet="windows-1252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jc w:val="both"/>
        <w:rPr>
          <w:rFonts w:ascii="Arial" w:hAnsi="Arial"/>
          <w:i/>
          <w:i/>
          <w:iCs/>
          <w:sz w:val="18"/>
          <w:szCs w:val="18"/>
        </w:rPr>
      </w:pPr>
      <w:r>
        <w:rPr>
          <w:rStyle w:val="Caracteresdenotaderodap"/>
        </w:rPr>
        <w:footnoteRef/>
      </w:r>
      <w:r>
        <w:rPr>
          <w:rFonts w:ascii="Arial" w:hAnsi="Arial"/>
          <w:i/>
          <w:iCs/>
          <w:sz w:val="18"/>
          <w:szCs w:val="18"/>
        </w:rPr>
        <w:tab/>
        <w:t xml:space="preserve">O </w:t>
      </w:r>
      <w:r>
        <w:rPr>
          <w:rFonts w:ascii="Arial" w:hAnsi="Arial"/>
          <w:b/>
          <w:bCs/>
          <w:i/>
          <w:iCs/>
          <w:sz w:val="18"/>
          <w:szCs w:val="18"/>
        </w:rPr>
        <w:t>Anexo IX do Edital – Planilhas de Custos e Formação de Preços</w:t>
      </w:r>
      <w:r>
        <w:rPr>
          <w:rFonts w:ascii="Arial" w:hAnsi="Arial"/>
          <w:i/>
          <w:iCs/>
          <w:sz w:val="18"/>
          <w:szCs w:val="18"/>
        </w:rPr>
        <w:t xml:space="preserve"> foi atualizado.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t-BR" w:eastAsia="zh-CN" w:bidi="hi-IN"/>
    </w:rPr>
  </w:style>
  <w:style w:type="character" w:styleId="Caracteresdenotaderodap">
    <w:name w:val="Caracteres de nota de rodapé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Caracteresdenotadefim">
    <w:name w:val="Caracteres de nota de fim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FootnoteText">
    <w:name w:val="Footnote Text"/>
    <w:basedOn w:val="Normal"/>
    <w:pPr>
      <w:suppressLineNumbers/>
      <w:ind w:hanging="340" w:start="34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70ABEA7A2A1949B2F8190BE8038081" ma:contentTypeVersion="18" ma:contentTypeDescription="Crie um novo documento." ma:contentTypeScope="" ma:versionID="81c454fe60425f4da997a13afca7736c">
  <xsd:schema xmlns:xsd="http://www.w3.org/2001/XMLSchema" xmlns:xs="http://www.w3.org/2001/XMLSchema" xmlns:p="http://schemas.microsoft.com/office/2006/metadata/properties" xmlns:ns2="4dd17150-3e7d-454f-81dd-1ae6b9361446" xmlns:ns3="31915563-1e63-410d-974b-28645d502fc9" xmlns:ns4="1c343fe7-d293-48f8-95a0-508e3568d6db" targetNamespace="http://schemas.microsoft.com/office/2006/metadata/properties" ma:root="true" ma:fieldsID="c80c8c407f800aa04e7327ed4aa4512c" ns2:_="" ns3:_="" ns4:_="">
    <xsd:import namespace="4dd17150-3e7d-454f-81dd-1ae6b9361446"/>
    <xsd:import namespace="31915563-1e63-410d-974b-28645d502fc9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17150-3e7d-454f-81dd-1ae6b93614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15563-1e63-410d-974b-28645d502fc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d3cb0c1-94e0-4047-bd8f-10d12f1fd94f}" ma:internalName="TaxCatchAll" ma:showField="CatchAllData" ma:web="31915563-1e63-410d-974b-28645d502f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17BD88-54EE-42D9-874D-476802C7579D}"/>
</file>

<file path=customXml/itemProps2.xml><?xml version="1.0" encoding="utf-8"?>
<ds:datastoreItem xmlns:ds="http://schemas.openxmlformats.org/officeDocument/2006/customXml" ds:itemID="{CCE71272-2A0F-402D-903E-3E0684A266A2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112</TotalTime>
  <Application>LibreOffice/7.6.5.2$Windows_X86_64 LibreOffice_project/38d5f62f85355c192ef5f1dd47c5c0c0c6d6598b</Application>
  <AppVersion>15.0000</AppVersion>
  <Pages>2</Pages>
  <Words>1327</Words>
  <Characters>7088</Characters>
  <CharactersWithSpaces>8385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2024-08-08T08:51:26Z</dcterms:created>
  <dc:creator/>
  <dc:description/>
  <dc:language>pt-BR</dc:language>
  <cp:lastModifiedBy/>
  <dcterms:modified xsi:type="dcterms:W3CDTF">2024-08-30T11:11:47Z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